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6DD" w:rsidRDefault="007366DD" w:rsidP="00F66F28">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7366DD" w:rsidRDefault="007366DD" w:rsidP="00F66F28">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7366DD" w:rsidRDefault="007366DD" w:rsidP="00F66F28">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7366DD" w:rsidRDefault="007366DD" w:rsidP="00F66F28">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7366DD" w:rsidRPr="007366DD" w:rsidRDefault="007366DD" w:rsidP="007366DD">
      <w:pPr>
        <w:spacing w:line="480" w:lineRule="auto"/>
        <w:jc w:val="center"/>
        <w:rPr>
          <w:rFonts w:ascii="Times New Roman" w:hAnsi="Times New Roman" w:cs="Times New Roman"/>
          <w:b/>
          <w:color w:val="1D1D1D"/>
          <w:sz w:val="24"/>
          <w:szCs w:val="24"/>
          <w:shd w:val="clear" w:color="auto" w:fill="FFFFFF"/>
        </w:rPr>
      </w:pPr>
      <w:r w:rsidRPr="007366DD">
        <w:rPr>
          <w:rFonts w:ascii="Times New Roman" w:hAnsi="Times New Roman" w:cs="Times New Roman"/>
          <w:b/>
          <w:color w:val="1D1D1D"/>
          <w:sz w:val="24"/>
          <w:szCs w:val="24"/>
          <w:shd w:val="clear" w:color="auto" w:fill="FFFFFF"/>
        </w:rPr>
        <w:t>Problem solving questions</w:t>
      </w:r>
    </w:p>
    <w:p w:rsidR="00F66F28" w:rsidRDefault="00F66F28" w:rsidP="00F66F28">
      <w:pPr>
        <w:spacing w:line="480" w:lineRule="auto"/>
        <w:jc w:val="both"/>
        <w:rPr>
          <w:rFonts w:ascii="Times New Roman" w:hAnsi="Times New Roman" w:cs="Times New Roman"/>
          <w:sz w:val="24"/>
          <w:szCs w:val="24"/>
        </w:rPr>
      </w:pPr>
      <w:r w:rsidRPr="007366DD">
        <w:rPr>
          <w:rFonts w:ascii="Times New Roman" w:hAnsi="Times New Roman" w:cs="Times New Roman"/>
          <w:sz w:val="24"/>
          <w:szCs w:val="24"/>
        </w:rPr>
        <w:t>PART</w:t>
      </w:r>
      <w:r>
        <w:rPr>
          <w:rFonts w:ascii="Times New Roman" w:hAnsi="Times New Roman" w:cs="Times New Roman"/>
          <w:sz w:val="24"/>
          <w:szCs w:val="24"/>
        </w:rPr>
        <w:t xml:space="preserve"> 1</w:t>
      </w:r>
    </w:p>
    <w:p w:rsidR="00D34AA7" w:rsidRPr="00F66F28" w:rsidRDefault="00EE0065" w:rsidP="00F66F28">
      <w:pPr>
        <w:spacing w:line="480" w:lineRule="auto"/>
        <w:jc w:val="both"/>
        <w:rPr>
          <w:rFonts w:ascii="Times New Roman" w:hAnsi="Times New Roman" w:cs="Times New Roman"/>
          <w:sz w:val="24"/>
          <w:szCs w:val="24"/>
        </w:rPr>
      </w:pPr>
      <w:r w:rsidRPr="00F66F28">
        <w:rPr>
          <w:rFonts w:ascii="Times New Roman" w:hAnsi="Times New Roman" w:cs="Times New Roman"/>
          <w:sz w:val="24"/>
          <w:szCs w:val="24"/>
        </w:rPr>
        <w:t>The unlevered</w:t>
      </w:r>
      <w:r w:rsidR="00A371D3" w:rsidRPr="00F66F28">
        <w:rPr>
          <w:rFonts w:ascii="Times New Roman" w:hAnsi="Times New Roman" w:cs="Times New Roman"/>
          <w:sz w:val="24"/>
          <w:szCs w:val="24"/>
        </w:rPr>
        <w:t xml:space="preserve"> beta of </w:t>
      </w:r>
      <w:r w:rsidRPr="00F66F28">
        <w:rPr>
          <w:rFonts w:ascii="Times New Roman" w:hAnsi="Times New Roman" w:cs="Times New Roman"/>
          <w:sz w:val="24"/>
          <w:szCs w:val="24"/>
        </w:rPr>
        <w:t>early</w:t>
      </w:r>
      <w:r w:rsidR="00A371D3" w:rsidRPr="00F66F28">
        <w:rPr>
          <w:rFonts w:ascii="Times New Roman" w:hAnsi="Times New Roman" w:cs="Times New Roman"/>
          <w:sz w:val="24"/>
          <w:szCs w:val="24"/>
        </w:rPr>
        <w:t xml:space="preserve"> </w:t>
      </w:r>
      <w:r w:rsidRPr="00F66F28">
        <w:rPr>
          <w:rFonts w:ascii="Times New Roman" w:hAnsi="Times New Roman" w:cs="Times New Roman"/>
          <w:sz w:val="24"/>
          <w:szCs w:val="24"/>
        </w:rPr>
        <w:t>wild</w:t>
      </w:r>
      <w:r w:rsidR="00A371D3" w:rsidRPr="00F66F28">
        <w:rPr>
          <w:rFonts w:ascii="Times New Roman" w:hAnsi="Times New Roman" w:cs="Times New Roman"/>
          <w:sz w:val="24"/>
          <w:szCs w:val="24"/>
        </w:rPr>
        <w:t xml:space="preserve"> growing company is the figure 0.56 the average of the </w:t>
      </w:r>
      <w:r w:rsidRPr="00F66F28">
        <w:rPr>
          <w:rFonts w:ascii="Times New Roman" w:hAnsi="Times New Roman" w:cs="Times New Roman"/>
          <w:sz w:val="24"/>
          <w:szCs w:val="24"/>
        </w:rPr>
        <w:t>unleavened</w:t>
      </w:r>
      <w:r w:rsidR="00A371D3" w:rsidRPr="00F66F28">
        <w:rPr>
          <w:rFonts w:ascii="Times New Roman" w:hAnsi="Times New Roman" w:cs="Times New Roman"/>
          <w:sz w:val="24"/>
          <w:szCs w:val="24"/>
        </w:rPr>
        <w:t xml:space="preserve"> betas is 2.2% is the </w:t>
      </w:r>
      <w:r w:rsidRPr="00F66F28">
        <w:rPr>
          <w:rFonts w:ascii="Times New Roman" w:hAnsi="Times New Roman" w:cs="Times New Roman"/>
          <w:sz w:val="24"/>
          <w:szCs w:val="24"/>
        </w:rPr>
        <w:t>startup</w:t>
      </w:r>
      <w:r w:rsidR="00A371D3" w:rsidRPr="00F66F28">
        <w:rPr>
          <w:rFonts w:ascii="Times New Roman" w:hAnsi="Times New Roman" w:cs="Times New Roman"/>
          <w:sz w:val="24"/>
          <w:szCs w:val="24"/>
        </w:rPr>
        <w:t xml:space="preserve"> effect or used as the industrial beta, the vernimmen look on the beta is the degree of </w:t>
      </w:r>
      <w:r w:rsidRPr="00F66F28">
        <w:rPr>
          <w:rFonts w:ascii="Times New Roman" w:hAnsi="Times New Roman" w:cs="Times New Roman"/>
          <w:sz w:val="24"/>
          <w:szCs w:val="24"/>
        </w:rPr>
        <w:t>ENI as</w:t>
      </w:r>
      <w:r w:rsidR="00A371D3" w:rsidRPr="00F66F28">
        <w:rPr>
          <w:rFonts w:ascii="Times New Roman" w:hAnsi="Times New Roman" w:cs="Times New Roman"/>
          <w:sz w:val="24"/>
          <w:szCs w:val="24"/>
        </w:rPr>
        <w:t xml:space="preserve"> it shows a </w:t>
      </w:r>
      <w:r w:rsidRPr="00F66F28">
        <w:rPr>
          <w:rFonts w:ascii="Times New Roman" w:hAnsi="Times New Roman" w:cs="Times New Roman"/>
          <w:sz w:val="24"/>
          <w:szCs w:val="24"/>
        </w:rPr>
        <w:t>established</w:t>
      </w:r>
      <w:r w:rsidR="00A371D3" w:rsidRPr="00F66F28">
        <w:rPr>
          <w:rFonts w:ascii="Times New Roman" w:hAnsi="Times New Roman" w:cs="Times New Roman"/>
          <w:sz w:val="24"/>
          <w:szCs w:val="24"/>
        </w:rPr>
        <w:t xml:space="preserve"> growth rate as it is not </w:t>
      </w:r>
      <w:r w:rsidRPr="00F66F28">
        <w:rPr>
          <w:rFonts w:ascii="Times New Roman" w:hAnsi="Times New Roman" w:cs="Times New Roman"/>
          <w:sz w:val="24"/>
          <w:szCs w:val="24"/>
        </w:rPr>
        <w:t>irrational</w:t>
      </w:r>
      <w:r w:rsidR="00A371D3" w:rsidRPr="00F66F28">
        <w:rPr>
          <w:rFonts w:ascii="Times New Roman" w:hAnsi="Times New Roman" w:cs="Times New Roman"/>
          <w:sz w:val="24"/>
          <w:szCs w:val="24"/>
        </w:rPr>
        <w:t xml:space="preserve"> as most of the cash flow generated are a </w:t>
      </w:r>
      <w:bookmarkStart w:id="0" w:name="_GoBack"/>
      <w:bookmarkEnd w:id="0"/>
      <w:r w:rsidR="00F66F28" w:rsidRPr="00F66F28">
        <w:rPr>
          <w:rFonts w:ascii="Times New Roman" w:hAnsi="Times New Roman" w:cs="Times New Roman"/>
          <w:sz w:val="24"/>
          <w:szCs w:val="24"/>
        </w:rPr>
        <w:t>reserve</w:t>
      </w:r>
      <w:r w:rsidR="00A371D3" w:rsidRPr="00F66F28">
        <w:rPr>
          <w:rFonts w:ascii="Times New Roman" w:hAnsi="Times New Roman" w:cs="Times New Roman"/>
          <w:sz w:val="24"/>
          <w:szCs w:val="24"/>
        </w:rPr>
        <w:t xml:space="preserve"> time and more than mature companies. Hence this company is much sensitive to any variation in </w:t>
      </w:r>
      <w:r w:rsidRPr="00F66F28">
        <w:rPr>
          <w:rFonts w:ascii="Times New Roman" w:hAnsi="Times New Roman" w:cs="Times New Roman"/>
          <w:sz w:val="24"/>
          <w:szCs w:val="24"/>
        </w:rPr>
        <w:t>markets</w:t>
      </w:r>
      <w:r w:rsidR="00A371D3" w:rsidRPr="00F66F28">
        <w:rPr>
          <w:rFonts w:ascii="Times New Roman" w:hAnsi="Times New Roman" w:cs="Times New Roman"/>
          <w:sz w:val="24"/>
          <w:szCs w:val="24"/>
        </w:rPr>
        <w:t xml:space="preserve"> and the rate of return </w:t>
      </w:r>
      <w:r w:rsidRPr="00F66F28">
        <w:rPr>
          <w:rFonts w:ascii="Times New Roman" w:hAnsi="Times New Roman" w:cs="Times New Roman"/>
          <w:sz w:val="24"/>
          <w:szCs w:val="24"/>
        </w:rPr>
        <w:t>mandatory</w:t>
      </w:r>
      <w:r w:rsidR="00A371D3" w:rsidRPr="00F66F28">
        <w:rPr>
          <w:rFonts w:ascii="Times New Roman" w:hAnsi="Times New Roman" w:cs="Times New Roman"/>
          <w:sz w:val="24"/>
          <w:szCs w:val="24"/>
        </w:rPr>
        <w:t xml:space="preserve"> by investors.to ta</w:t>
      </w:r>
      <w:r w:rsidRPr="00F66F28">
        <w:rPr>
          <w:rFonts w:ascii="Times New Roman" w:hAnsi="Times New Roman" w:cs="Times New Roman"/>
          <w:sz w:val="24"/>
          <w:szCs w:val="24"/>
        </w:rPr>
        <w:t>ke analogy</w:t>
      </w:r>
      <w:r w:rsidR="00A371D3" w:rsidRPr="00F66F28">
        <w:rPr>
          <w:rFonts w:ascii="Times New Roman" w:hAnsi="Times New Roman" w:cs="Times New Roman"/>
          <w:sz w:val="24"/>
          <w:szCs w:val="24"/>
        </w:rPr>
        <w:t xml:space="preserve"> with bonds its duration and modification duration are high</w:t>
      </w:r>
      <w:r w:rsidR="00624EF5" w:rsidRPr="00F66F28">
        <w:rPr>
          <w:rFonts w:ascii="Times New Roman" w:hAnsi="Times New Roman" w:cs="Times New Roman"/>
          <w:sz w:val="24"/>
          <w:szCs w:val="24"/>
        </w:rPr>
        <w:t xml:space="preserve">er, this defines the beta which is the relative sensitivity of company to the </w:t>
      </w:r>
      <w:r w:rsidRPr="00F66F28">
        <w:rPr>
          <w:rFonts w:ascii="Times New Roman" w:hAnsi="Times New Roman" w:cs="Times New Roman"/>
          <w:sz w:val="24"/>
          <w:szCs w:val="24"/>
        </w:rPr>
        <w:t>market</w:t>
      </w:r>
      <w:r w:rsidR="00624EF5" w:rsidRPr="00F66F28">
        <w:rPr>
          <w:rFonts w:ascii="Times New Roman" w:hAnsi="Times New Roman" w:cs="Times New Roman"/>
          <w:sz w:val="24"/>
          <w:szCs w:val="24"/>
        </w:rPr>
        <w:t xml:space="preserve">. In conclusion a smaller company should have a higher </w:t>
      </w:r>
      <w:r w:rsidRPr="00F66F28">
        <w:rPr>
          <w:rFonts w:ascii="Times New Roman" w:hAnsi="Times New Roman" w:cs="Times New Roman"/>
          <w:sz w:val="24"/>
          <w:szCs w:val="24"/>
        </w:rPr>
        <w:t>beta. Analyst</w:t>
      </w:r>
      <w:r w:rsidR="00624EF5" w:rsidRPr="00F66F28">
        <w:rPr>
          <w:rFonts w:ascii="Times New Roman" w:hAnsi="Times New Roman" w:cs="Times New Roman"/>
          <w:sz w:val="24"/>
          <w:szCs w:val="24"/>
        </w:rPr>
        <w:t xml:space="preserve"> should take the view that </w:t>
      </w:r>
      <w:r w:rsidRPr="00F66F28">
        <w:rPr>
          <w:rFonts w:ascii="Times New Roman" w:hAnsi="Times New Roman" w:cs="Times New Roman"/>
          <w:sz w:val="24"/>
          <w:szCs w:val="24"/>
        </w:rPr>
        <w:t>changeable</w:t>
      </w:r>
      <w:r w:rsidR="00624EF5" w:rsidRPr="00F66F28">
        <w:rPr>
          <w:rFonts w:ascii="Times New Roman" w:hAnsi="Times New Roman" w:cs="Times New Roman"/>
          <w:sz w:val="24"/>
          <w:szCs w:val="24"/>
        </w:rPr>
        <w:t xml:space="preserve"> bonds lie halfway between equity and debt so treat them half way as it will be a total </w:t>
      </w:r>
      <w:r w:rsidRPr="00F66F28">
        <w:rPr>
          <w:rFonts w:ascii="Times New Roman" w:hAnsi="Times New Roman" w:cs="Times New Roman"/>
          <w:sz w:val="24"/>
          <w:szCs w:val="24"/>
        </w:rPr>
        <w:t>arbitrary</w:t>
      </w:r>
      <w:r w:rsidR="00624EF5" w:rsidRPr="00F66F28">
        <w:rPr>
          <w:rFonts w:ascii="Times New Roman" w:hAnsi="Times New Roman" w:cs="Times New Roman"/>
          <w:sz w:val="24"/>
          <w:szCs w:val="24"/>
        </w:rPr>
        <w:t xml:space="preserve"> and </w:t>
      </w:r>
      <w:r w:rsidRPr="00F66F28">
        <w:rPr>
          <w:rFonts w:ascii="Times New Roman" w:hAnsi="Times New Roman" w:cs="Times New Roman"/>
          <w:sz w:val="24"/>
          <w:szCs w:val="24"/>
        </w:rPr>
        <w:t>baseless</w:t>
      </w:r>
      <w:r w:rsidR="00624EF5" w:rsidRPr="00F66F28">
        <w:rPr>
          <w:rFonts w:ascii="Times New Roman" w:hAnsi="Times New Roman" w:cs="Times New Roman"/>
          <w:sz w:val="24"/>
          <w:szCs w:val="24"/>
        </w:rPr>
        <w:t xml:space="preserve"> </w:t>
      </w:r>
      <w:r w:rsidR="00F66F28" w:rsidRPr="00F66F28">
        <w:rPr>
          <w:rFonts w:ascii="Times New Roman" w:hAnsi="Times New Roman" w:cs="Times New Roman"/>
          <w:sz w:val="24"/>
          <w:szCs w:val="24"/>
        </w:rPr>
        <w:t>approach</w:t>
      </w:r>
      <w:r w:rsidR="00F66F28">
        <w:rPr>
          <w:rFonts w:ascii="Times New Roman" w:hAnsi="Times New Roman" w:cs="Times New Roman"/>
          <w:sz w:val="24"/>
          <w:szCs w:val="24"/>
        </w:rPr>
        <w:t xml:space="preserve"> (</w:t>
      </w:r>
      <w:r w:rsidR="00F66F28" w:rsidRPr="00F66F28">
        <w:rPr>
          <w:rFonts w:ascii="Times New Roman" w:hAnsi="Times New Roman" w:cs="Times New Roman"/>
          <w:color w:val="444444"/>
          <w:sz w:val="24"/>
          <w:szCs w:val="24"/>
        </w:rPr>
        <w:t>Besley</w:t>
      </w:r>
      <w:r w:rsidR="00F66F28">
        <w:rPr>
          <w:rFonts w:ascii="Times New Roman" w:hAnsi="Times New Roman" w:cs="Times New Roman"/>
          <w:color w:val="444444"/>
          <w:sz w:val="24"/>
          <w:szCs w:val="24"/>
        </w:rPr>
        <w:t xml:space="preserve">, S. &amp; Brigham, E. </w:t>
      </w:r>
      <w:r w:rsidR="00F66F28" w:rsidRPr="00F66F28">
        <w:rPr>
          <w:rFonts w:ascii="Times New Roman" w:hAnsi="Times New Roman" w:cs="Times New Roman"/>
          <w:color w:val="444444"/>
          <w:sz w:val="24"/>
          <w:szCs w:val="24"/>
        </w:rPr>
        <w:t>2009). </w:t>
      </w:r>
      <w:r w:rsidR="00F66F28">
        <w:rPr>
          <w:rFonts w:ascii="Times New Roman" w:hAnsi="Times New Roman" w:cs="Times New Roman"/>
          <w:sz w:val="24"/>
          <w:szCs w:val="24"/>
        </w:rPr>
        <w:t xml:space="preserve"> F</w:t>
      </w:r>
      <w:r w:rsidR="00624EF5" w:rsidRPr="00F66F28">
        <w:rPr>
          <w:rFonts w:ascii="Times New Roman" w:hAnsi="Times New Roman" w:cs="Times New Roman"/>
          <w:sz w:val="24"/>
          <w:szCs w:val="24"/>
        </w:rPr>
        <w:t>or instance if the share price already lies</w:t>
      </w:r>
      <w:r w:rsidR="005234FA" w:rsidRPr="00F66F28">
        <w:rPr>
          <w:rFonts w:ascii="Times New Roman" w:hAnsi="Times New Roman" w:cs="Times New Roman"/>
          <w:sz w:val="24"/>
          <w:szCs w:val="24"/>
        </w:rPr>
        <w:t xml:space="preserve"> above </w:t>
      </w:r>
      <w:r w:rsidRPr="00F66F28">
        <w:rPr>
          <w:rFonts w:ascii="Times New Roman" w:hAnsi="Times New Roman" w:cs="Times New Roman"/>
          <w:sz w:val="24"/>
          <w:szCs w:val="24"/>
        </w:rPr>
        <w:t>translation</w:t>
      </w:r>
      <w:r w:rsidR="005234FA" w:rsidRPr="00F66F28">
        <w:rPr>
          <w:rFonts w:ascii="Times New Roman" w:hAnsi="Times New Roman" w:cs="Times New Roman"/>
          <w:sz w:val="24"/>
          <w:szCs w:val="24"/>
        </w:rPr>
        <w:t xml:space="preserve"> price the bond are very indeed to be converted so the issue should be treated as equity and number of </w:t>
      </w:r>
      <w:r w:rsidRPr="00F66F28">
        <w:rPr>
          <w:rFonts w:ascii="Times New Roman" w:hAnsi="Times New Roman" w:cs="Times New Roman"/>
          <w:sz w:val="24"/>
          <w:szCs w:val="24"/>
        </w:rPr>
        <w:t>shareholders</w:t>
      </w:r>
      <w:r w:rsidR="005234FA" w:rsidRPr="00F66F28">
        <w:rPr>
          <w:rFonts w:ascii="Times New Roman" w:hAnsi="Times New Roman" w:cs="Times New Roman"/>
          <w:sz w:val="24"/>
          <w:szCs w:val="24"/>
        </w:rPr>
        <w:t xml:space="preserve"> increased.</w:t>
      </w:r>
    </w:p>
    <w:tbl>
      <w:tblPr>
        <w:tblW w:w="13240" w:type="dxa"/>
        <w:tblInd w:w="93" w:type="dxa"/>
        <w:tblLook w:val="04A0"/>
      </w:tblPr>
      <w:tblGrid>
        <w:gridCol w:w="1720"/>
        <w:gridCol w:w="960"/>
        <w:gridCol w:w="960"/>
        <w:gridCol w:w="960"/>
        <w:gridCol w:w="960"/>
        <w:gridCol w:w="960"/>
        <w:gridCol w:w="960"/>
        <w:gridCol w:w="960"/>
        <w:gridCol w:w="960"/>
        <w:gridCol w:w="960"/>
        <w:gridCol w:w="960"/>
        <w:gridCol w:w="960"/>
        <w:gridCol w:w="960"/>
      </w:tblGrid>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r>
      <w:tr w:rsidR="00624EF5" w:rsidRPr="00624EF5" w:rsidTr="00624EF5">
        <w:trPr>
          <w:trHeight w:val="300"/>
        </w:trPr>
        <w:tc>
          <w:tcPr>
            <w:tcW w:w="1720" w:type="dxa"/>
            <w:tcBorders>
              <w:top w:val="nil"/>
              <w:left w:val="nil"/>
              <w:bottom w:val="nil"/>
              <w:right w:val="nil"/>
            </w:tcBorders>
            <w:shd w:val="clear" w:color="000000" w:fill="808080"/>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1F497D"/>
                <w:sz w:val="24"/>
                <w:szCs w:val="24"/>
              </w:rPr>
            </w:pPr>
            <w:r w:rsidRPr="00624EF5">
              <w:rPr>
                <w:rFonts w:ascii="Times New Roman" w:eastAsia="Times New Roman" w:hAnsi="Times New Roman" w:cs="Times New Roman"/>
                <w:color w:val="1F497D"/>
                <w:sz w:val="24"/>
                <w:szCs w:val="24"/>
              </w:rPr>
              <w:t>MONTHS</w:t>
            </w:r>
          </w:p>
        </w:tc>
        <w:tc>
          <w:tcPr>
            <w:tcW w:w="960" w:type="dxa"/>
            <w:tcBorders>
              <w:top w:val="nil"/>
              <w:left w:val="nil"/>
              <w:bottom w:val="nil"/>
              <w:right w:val="nil"/>
            </w:tcBorders>
            <w:shd w:val="clear" w:color="000000" w:fill="808080"/>
            <w:noWrap/>
            <w:vAlign w:val="bottom"/>
            <w:hideMark/>
          </w:tcPr>
          <w:p w:rsidR="00624EF5" w:rsidRPr="00624EF5" w:rsidRDefault="005234FA" w:rsidP="00F66F28">
            <w:pPr>
              <w:spacing w:after="0" w:line="480" w:lineRule="auto"/>
              <w:jc w:val="both"/>
              <w:rPr>
                <w:rFonts w:ascii="Times New Roman" w:eastAsia="Times New Roman" w:hAnsi="Times New Roman" w:cs="Times New Roman"/>
                <w:color w:val="1F497D"/>
                <w:sz w:val="24"/>
                <w:szCs w:val="24"/>
              </w:rPr>
            </w:pPr>
            <w:r w:rsidRPr="00F66F28">
              <w:rPr>
                <w:rFonts w:ascii="Times New Roman" w:eastAsia="Times New Roman" w:hAnsi="Times New Roman" w:cs="Times New Roman"/>
                <w:color w:val="1F497D"/>
                <w:sz w:val="24"/>
                <w:szCs w:val="24"/>
              </w:rPr>
              <w:t>Jan</w:t>
            </w:r>
          </w:p>
        </w:tc>
        <w:tc>
          <w:tcPr>
            <w:tcW w:w="960" w:type="dxa"/>
            <w:tcBorders>
              <w:top w:val="nil"/>
              <w:left w:val="nil"/>
              <w:bottom w:val="nil"/>
              <w:right w:val="nil"/>
            </w:tcBorders>
            <w:shd w:val="clear" w:color="000000" w:fill="808080"/>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1F497D"/>
                <w:sz w:val="24"/>
                <w:szCs w:val="24"/>
              </w:rPr>
            </w:pPr>
            <w:r w:rsidRPr="00624EF5">
              <w:rPr>
                <w:rFonts w:ascii="Times New Roman" w:eastAsia="Times New Roman" w:hAnsi="Times New Roman" w:cs="Times New Roman"/>
                <w:color w:val="1F497D"/>
                <w:sz w:val="24"/>
                <w:szCs w:val="24"/>
              </w:rPr>
              <w:t>feb</w:t>
            </w:r>
          </w:p>
        </w:tc>
        <w:tc>
          <w:tcPr>
            <w:tcW w:w="960" w:type="dxa"/>
            <w:tcBorders>
              <w:top w:val="nil"/>
              <w:left w:val="nil"/>
              <w:bottom w:val="nil"/>
              <w:right w:val="nil"/>
            </w:tcBorders>
            <w:shd w:val="clear" w:color="000000" w:fill="808080"/>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1F497D"/>
                <w:sz w:val="24"/>
                <w:szCs w:val="24"/>
              </w:rPr>
            </w:pPr>
            <w:r w:rsidRPr="00624EF5">
              <w:rPr>
                <w:rFonts w:ascii="Times New Roman" w:eastAsia="Times New Roman" w:hAnsi="Times New Roman" w:cs="Times New Roman"/>
                <w:color w:val="1F497D"/>
                <w:sz w:val="24"/>
                <w:szCs w:val="24"/>
              </w:rPr>
              <w:t>march</w:t>
            </w:r>
          </w:p>
        </w:tc>
        <w:tc>
          <w:tcPr>
            <w:tcW w:w="960" w:type="dxa"/>
            <w:tcBorders>
              <w:top w:val="nil"/>
              <w:left w:val="nil"/>
              <w:bottom w:val="nil"/>
              <w:right w:val="nil"/>
            </w:tcBorders>
            <w:shd w:val="clear" w:color="000000" w:fill="808080"/>
            <w:noWrap/>
            <w:vAlign w:val="bottom"/>
            <w:hideMark/>
          </w:tcPr>
          <w:p w:rsidR="00624EF5" w:rsidRPr="00624EF5" w:rsidRDefault="005234FA" w:rsidP="00F66F28">
            <w:pPr>
              <w:spacing w:after="0" w:line="480" w:lineRule="auto"/>
              <w:jc w:val="both"/>
              <w:rPr>
                <w:rFonts w:ascii="Times New Roman" w:eastAsia="Times New Roman" w:hAnsi="Times New Roman" w:cs="Times New Roman"/>
                <w:color w:val="1F497D"/>
                <w:sz w:val="24"/>
                <w:szCs w:val="24"/>
              </w:rPr>
            </w:pPr>
            <w:r w:rsidRPr="00F66F28">
              <w:rPr>
                <w:rFonts w:ascii="Times New Roman" w:eastAsia="Times New Roman" w:hAnsi="Times New Roman" w:cs="Times New Roman"/>
                <w:color w:val="1F497D"/>
                <w:sz w:val="24"/>
                <w:szCs w:val="24"/>
              </w:rPr>
              <w:t>April</w:t>
            </w:r>
          </w:p>
        </w:tc>
        <w:tc>
          <w:tcPr>
            <w:tcW w:w="960" w:type="dxa"/>
            <w:tcBorders>
              <w:top w:val="nil"/>
              <w:left w:val="nil"/>
              <w:bottom w:val="nil"/>
              <w:right w:val="nil"/>
            </w:tcBorders>
            <w:shd w:val="clear" w:color="000000" w:fill="808080"/>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1F497D"/>
                <w:sz w:val="24"/>
                <w:szCs w:val="24"/>
              </w:rPr>
            </w:pPr>
            <w:r w:rsidRPr="00624EF5">
              <w:rPr>
                <w:rFonts w:ascii="Times New Roman" w:eastAsia="Times New Roman" w:hAnsi="Times New Roman" w:cs="Times New Roman"/>
                <w:color w:val="1F497D"/>
                <w:sz w:val="24"/>
                <w:szCs w:val="24"/>
              </w:rPr>
              <w:t>may</w:t>
            </w:r>
          </w:p>
        </w:tc>
        <w:tc>
          <w:tcPr>
            <w:tcW w:w="960" w:type="dxa"/>
            <w:tcBorders>
              <w:top w:val="nil"/>
              <w:left w:val="nil"/>
              <w:bottom w:val="nil"/>
              <w:right w:val="nil"/>
            </w:tcBorders>
            <w:shd w:val="clear" w:color="000000" w:fill="808080"/>
            <w:noWrap/>
            <w:vAlign w:val="bottom"/>
            <w:hideMark/>
          </w:tcPr>
          <w:p w:rsidR="00624EF5" w:rsidRPr="00624EF5" w:rsidRDefault="005234FA" w:rsidP="00F66F28">
            <w:pPr>
              <w:spacing w:after="0" w:line="480" w:lineRule="auto"/>
              <w:jc w:val="both"/>
              <w:rPr>
                <w:rFonts w:ascii="Times New Roman" w:eastAsia="Times New Roman" w:hAnsi="Times New Roman" w:cs="Times New Roman"/>
                <w:color w:val="1F497D"/>
                <w:sz w:val="24"/>
                <w:szCs w:val="24"/>
              </w:rPr>
            </w:pPr>
            <w:r w:rsidRPr="00F66F28">
              <w:rPr>
                <w:rFonts w:ascii="Times New Roman" w:eastAsia="Times New Roman" w:hAnsi="Times New Roman" w:cs="Times New Roman"/>
                <w:color w:val="1F497D"/>
                <w:sz w:val="24"/>
                <w:szCs w:val="24"/>
              </w:rPr>
              <w:t>June</w:t>
            </w:r>
          </w:p>
        </w:tc>
        <w:tc>
          <w:tcPr>
            <w:tcW w:w="960" w:type="dxa"/>
            <w:tcBorders>
              <w:top w:val="nil"/>
              <w:left w:val="nil"/>
              <w:bottom w:val="nil"/>
              <w:right w:val="nil"/>
            </w:tcBorders>
            <w:shd w:val="clear" w:color="000000" w:fill="808080"/>
            <w:noWrap/>
            <w:vAlign w:val="bottom"/>
            <w:hideMark/>
          </w:tcPr>
          <w:p w:rsidR="00624EF5" w:rsidRPr="00624EF5" w:rsidRDefault="005234FA" w:rsidP="00F66F28">
            <w:pPr>
              <w:spacing w:after="0" w:line="480" w:lineRule="auto"/>
              <w:jc w:val="both"/>
              <w:rPr>
                <w:rFonts w:ascii="Times New Roman" w:eastAsia="Times New Roman" w:hAnsi="Times New Roman" w:cs="Times New Roman"/>
                <w:color w:val="1F497D"/>
                <w:sz w:val="24"/>
                <w:szCs w:val="24"/>
              </w:rPr>
            </w:pPr>
            <w:r w:rsidRPr="00F66F28">
              <w:rPr>
                <w:rFonts w:ascii="Times New Roman" w:eastAsia="Times New Roman" w:hAnsi="Times New Roman" w:cs="Times New Roman"/>
                <w:color w:val="1F497D"/>
                <w:sz w:val="24"/>
                <w:szCs w:val="24"/>
              </w:rPr>
              <w:t>July</w:t>
            </w:r>
          </w:p>
        </w:tc>
        <w:tc>
          <w:tcPr>
            <w:tcW w:w="960" w:type="dxa"/>
            <w:tcBorders>
              <w:top w:val="nil"/>
              <w:left w:val="nil"/>
              <w:bottom w:val="nil"/>
              <w:right w:val="nil"/>
            </w:tcBorders>
            <w:shd w:val="clear" w:color="000000" w:fill="808080"/>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1F497D"/>
                <w:sz w:val="24"/>
                <w:szCs w:val="24"/>
              </w:rPr>
            </w:pPr>
            <w:r w:rsidRPr="00624EF5">
              <w:rPr>
                <w:rFonts w:ascii="Times New Roman" w:eastAsia="Times New Roman" w:hAnsi="Times New Roman" w:cs="Times New Roman"/>
                <w:color w:val="1F497D"/>
                <w:sz w:val="24"/>
                <w:szCs w:val="24"/>
              </w:rPr>
              <w:t>august</w:t>
            </w:r>
          </w:p>
        </w:tc>
        <w:tc>
          <w:tcPr>
            <w:tcW w:w="960" w:type="dxa"/>
            <w:tcBorders>
              <w:top w:val="nil"/>
              <w:left w:val="nil"/>
              <w:bottom w:val="nil"/>
              <w:right w:val="nil"/>
            </w:tcBorders>
            <w:shd w:val="clear" w:color="000000" w:fill="808080"/>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1F497D"/>
                <w:sz w:val="24"/>
                <w:szCs w:val="24"/>
              </w:rPr>
            </w:pPr>
            <w:r w:rsidRPr="00624EF5">
              <w:rPr>
                <w:rFonts w:ascii="Times New Roman" w:eastAsia="Times New Roman" w:hAnsi="Times New Roman" w:cs="Times New Roman"/>
                <w:color w:val="1F497D"/>
                <w:sz w:val="24"/>
                <w:szCs w:val="24"/>
              </w:rPr>
              <w:t>sep</w:t>
            </w:r>
          </w:p>
        </w:tc>
        <w:tc>
          <w:tcPr>
            <w:tcW w:w="960" w:type="dxa"/>
            <w:tcBorders>
              <w:top w:val="nil"/>
              <w:left w:val="nil"/>
              <w:bottom w:val="nil"/>
              <w:right w:val="nil"/>
            </w:tcBorders>
            <w:shd w:val="clear" w:color="000000" w:fill="808080"/>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1F497D"/>
                <w:sz w:val="24"/>
                <w:szCs w:val="24"/>
              </w:rPr>
            </w:pPr>
            <w:r w:rsidRPr="00624EF5">
              <w:rPr>
                <w:rFonts w:ascii="Times New Roman" w:eastAsia="Times New Roman" w:hAnsi="Times New Roman" w:cs="Times New Roman"/>
                <w:color w:val="1F497D"/>
                <w:sz w:val="24"/>
                <w:szCs w:val="24"/>
              </w:rPr>
              <w:t>nov</w:t>
            </w:r>
          </w:p>
        </w:tc>
        <w:tc>
          <w:tcPr>
            <w:tcW w:w="960" w:type="dxa"/>
            <w:tcBorders>
              <w:top w:val="nil"/>
              <w:left w:val="nil"/>
              <w:bottom w:val="nil"/>
              <w:right w:val="nil"/>
            </w:tcBorders>
            <w:shd w:val="clear" w:color="000000" w:fill="808080"/>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1F497D"/>
                <w:sz w:val="24"/>
                <w:szCs w:val="24"/>
              </w:rPr>
            </w:pPr>
            <w:proofErr w:type="spellStart"/>
            <w:r w:rsidRPr="00624EF5">
              <w:rPr>
                <w:rFonts w:ascii="Times New Roman" w:eastAsia="Times New Roman" w:hAnsi="Times New Roman" w:cs="Times New Roman"/>
                <w:color w:val="1F497D"/>
                <w:sz w:val="24"/>
                <w:szCs w:val="24"/>
              </w:rPr>
              <w:t>dec</w:t>
            </w:r>
            <w:proofErr w:type="spellEnd"/>
          </w:p>
        </w:tc>
        <w:tc>
          <w:tcPr>
            <w:tcW w:w="960" w:type="dxa"/>
            <w:tcBorders>
              <w:top w:val="nil"/>
              <w:left w:val="nil"/>
              <w:bottom w:val="nil"/>
              <w:right w:val="nil"/>
            </w:tcBorders>
            <w:shd w:val="clear" w:color="000000" w:fill="808080"/>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1F497D"/>
                <w:sz w:val="24"/>
                <w:szCs w:val="24"/>
              </w:rPr>
            </w:pPr>
            <w:proofErr w:type="spellStart"/>
            <w:r w:rsidRPr="00624EF5">
              <w:rPr>
                <w:rFonts w:ascii="Times New Roman" w:eastAsia="Times New Roman" w:hAnsi="Times New Roman" w:cs="Times New Roman"/>
                <w:color w:val="1F497D"/>
                <w:sz w:val="24"/>
                <w:szCs w:val="24"/>
              </w:rPr>
              <w:t>jan</w:t>
            </w:r>
            <w:proofErr w:type="spellEnd"/>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10</w:t>
            </w:r>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lastRenderedPageBreak/>
              <w:t>ENI</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16.93</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16.57</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17.37</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16.86</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15.2</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15.19</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15.67</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15.83</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16.19</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15.5</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16.34</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17.3</w:t>
            </w:r>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ITL index</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21896</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21068</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22847</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21562</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19544</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19311</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21021</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19734</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20505</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19105</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20173</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22050</w:t>
            </w:r>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Return  Eni</w:t>
            </w:r>
          </w:p>
        </w:tc>
        <w:tc>
          <w:tcPr>
            <w:tcW w:w="1920" w:type="dxa"/>
            <w:gridSpan w:val="2"/>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17.30/16.93-1</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2.20%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Return itl</w:t>
            </w:r>
            <w:r w:rsidR="00F66F28">
              <w:rPr>
                <w:rFonts w:ascii="Times New Roman" w:eastAsia="Times New Roman" w:hAnsi="Times New Roman" w:cs="Times New Roman"/>
                <w:color w:val="000000"/>
                <w:sz w:val="24"/>
                <w:szCs w:val="24"/>
              </w:rPr>
              <w:t xml:space="preserve"> </w:t>
            </w:r>
            <w:r w:rsidRPr="00624EF5">
              <w:rPr>
                <w:rFonts w:ascii="Times New Roman" w:eastAsia="Times New Roman" w:hAnsi="Times New Roman" w:cs="Times New Roman"/>
                <w:color w:val="000000"/>
                <w:sz w:val="24"/>
                <w:szCs w:val="24"/>
              </w:rPr>
              <w:t xml:space="preserve"> index</w:t>
            </w:r>
          </w:p>
        </w:tc>
        <w:tc>
          <w:tcPr>
            <w:tcW w:w="1920" w:type="dxa"/>
            <w:gridSpan w:val="2"/>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22050/21896</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0.70%</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ENI risk</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4.59</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F66F28"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index</w:t>
            </w:r>
            <w:r w:rsidR="00624EF5" w:rsidRPr="00624EF5">
              <w:rPr>
                <w:rFonts w:ascii="Times New Roman" w:eastAsia="Times New Roman" w:hAnsi="Times New Roman" w:cs="Times New Roman"/>
                <w:color w:val="000000"/>
                <w:sz w:val="24"/>
                <w:szCs w:val="24"/>
              </w:rPr>
              <w:t xml:space="preserve"> risk</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1920" w:type="dxa"/>
            <w:gridSpan w:val="2"/>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r w:rsidRPr="00624EF5">
              <w:rPr>
                <w:rFonts w:ascii="Times New Roman" w:eastAsia="Times New Roman" w:hAnsi="Times New Roman" w:cs="Times New Roman"/>
                <w:color w:val="000000"/>
                <w:sz w:val="24"/>
                <w:szCs w:val="24"/>
              </w:rPr>
              <w:t>0.56*7.35/4.59</w:t>
            </w: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r>
      <w:tr w:rsidR="00624EF5" w:rsidRPr="00624EF5" w:rsidTr="00624EF5">
        <w:trPr>
          <w:trHeight w:val="300"/>
        </w:trPr>
        <w:tc>
          <w:tcPr>
            <w:tcW w:w="172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624EF5" w:rsidRPr="00624EF5" w:rsidRDefault="00624EF5" w:rsidP="00F66F28">
            <w:pPr>
              <w:spacing w:after="0" w:line="480" w:lineRule="auto"/>
              <w:jc w:val="both"/>
              <w:rPr>
                <w:rFonts w:ascii="Times New Roman" w:eastAsia="Times New Roman" w:hAnsi="Times New Roman" w:cs="Times New Roman"/>
                <w:color w:val="000000"/>
                <w:sz w:val="24"/>
                <w:szCs w:val="24"/>
              </w:rPr>
            </w:pPr>
          </w:p>
        </w:tc>
      </w:tr>
    </w:tbl>
    <w:p w:rsidR="00624EF5" w:rsidRPr="00F66F28" w:rsidRDefault="00624EF5" w:rsidP="00F66F28">
      <w:pPr>
        <w:spacing w:line="480" w:lineRule="auto"/>
        <w:jc w:val="both"/>
        <w:rPr>
          <w:rFonts w:ascii="Times New Roman" w:hAnsi="Times New Roman" w:cs="Times New Roman"/>
          <w:sz w:val="24"/>
          <w:szCs w:val="24"/>
        </w:rPr>
      </w:pPr>
    </w:p>
    <w:p w:rsidR="005234FA" w:rsidRPr="00F66F28" w:rsidRDefault="005234FA" w:rsidP="00F66F28">
      <w:pPr>
        <w:spacing w:line="480" w:lineRule="auto"/>
        <w:jc w:val="both"/>
        <w:rPr>
          <w:rFonts w:ascii="Times New Roman" w:hAnsi="Times New Roman" w:cs="Times New Roman"/>
          <w:sz w:val="24"/>
          <w:szCs w:val="24"/>
        </w:rPr>
      </w:pPr>
      <w:r w:rsidRPr="00F66F28">
        <w:rPr>
          <w:rFonts w:ascii="Times New Roman" w:hAnsi="Times New Roman" w:cs="Times New Roman"/>
          <w:sz w:val="24"/>
          <w:szCs w:val="24"/>
        </w:rPr>
        <w:t>PART 2</w:t>
      </w:r>
    </w:p>
    <w:p w:rsidR="005234FA" w:rsidRPr="00F66F28" w:rsidRDefault="005234FA" w:rsidP="00F66F28">
      <w:pPr>
        <w:spacing w:line="480" w:lineRule="auto"/>
        <w:jc w:val="both"/>
        <w:rPr>
          <w:rFonts w:ascii="Times New Roman" w:hAnsi="Times New Roman" w:cs="Times New Roman"/>
          <w:color w:val="444444"/>
          <w:sz w:val="24"/>
          <w:szCs w:val="24"/>
        </w:rPr>
      </w:pPr>
      <w:r w:rsidRPr="00F66F28">
        <w:rPr>
          <w:rFonts w:ascii="Times New Roman" w:hAnsi="Times New Roman" w:cs="Times New Roman"/>
          <w:sz w:val="24"/>
          <w:szCs w:val="24"/>
        </w:rPr>
        <w:t xml:space="preserve">Debt financing occurs when a firm </w:t>
      </w:r>
      <w:r w:rsidR="00DD04C5" w:rsidRPr="00F66F28">
        <w:rPr>
          <w:rFonts w:ascii="Times New Roman" w:hAnsi="Times New Roman" w:cs="Times New Roman"/>
          <w:sz w:val="24"/>
          <w:szCs w:val="24"/>
        </w:rPr>
        <w:t>increases</w:t>
      </w:r>
      <w:r w:rsidRPr="00F66F28">
        <w:rPr>
          <w:rFonts w:ascii="Times New Roman" w:hAnsi="Times New Roman" w:cs="Times New Roman"/>
          <w:sz w:val="24"/>
          <w:szCs w:val="24"/>
        </w:rPr>
        <w:t xml:space="preserve"> money for working capital or capital </w:t>
      </w:r>
      <w:r w:rsidR="00DD04C5" w:rsidRPr="00F66F28">
        <w:rPr>
          <w:rFonts w:ascii="Times New Roman" w:hAnsi="Times New Roman" w:cs="Times New Roman"/>
          <w:sz w:val="24"/>
          <w:szCs w:val="24"/>
        </w:rPr>
        <w:t>spending</w:t>
      </w:r>
      <w:r w:rsidRPr="00F66F28">
        <w:rPr>
          <w:rFonts w:ascii="Times New Roman" w:hAnsi="Times New Roman" w:cs="Times New Roman"/>
          <w:sz w:val="24"/>
          <w:szCs w:val="24"/>
        </w:rPr>
        <w:t xml:space="preserve"> by selling debt </w:t>
      </w:r>
      <w:r w:rsidR="00DD04C5" w:rsidRPr="00F66F28">
        <w:rPr>
          <w:rFonts w:ascii="Times New Roman" w:hAnsi="Times New Roman" w:cs="Times New Roman"/>
          <w:sz w:val="24"/>
          <w:szCs w:val="24"/>
        </w:rPr>
        <w:t>mechanism</w:t>
      </w:r>
      <w:r w:rsidRPr="00F66F28">
        <w:rPr>
          <w:rFonts w:ascii="Times New Roman" w:hAnsi="Times New Roman" w:cs="Times New Roman"/>
          <w:sz w:val="24"/>
          <w:szCs w:val="24"/>
        </w:rPr>
        <w:t xml:space="preserve"> to individuals or investors, in return leading the </w:t>
      </w:r>
      <w:r w:rsidR="00EE0065" w:rsidRPr="00F66F28">
        <w:rPr>
          <w:rFonts w:ascii="Times New Roman" w:hAnsi="Times New Roman" w:cs="Times New Roman"/>
          <w:sz w:val="24"/>
          <w:szCs w:val="24"/>
        </w:rPr>
        <w:t>money and</w:t>
      </w:r>
      <w:r w:rsidRPr="00F66F28">
        <w:rPr>
          <w:rFonts w:ascii="Times New Roman" w:hAnsi="Times New Roman" w:cs="Times New Roman"/>
          <w:sz w:val="24"/>
          <w:szCs w:val="24"/>
        </w:rPr>
        <w:t xml:space="preserve"> the institution become the creditors</w:t>
      </w:r>
      <w:r w:rsidR="00A2542E" w:rsidRPr="00F66F28">
        <w:rPr>
          <w:rFonts w:ascii="Times New Roman" w:hAnsi="Times New Roman" w:cs="Times New Roman"/>
          <w:sz w:val="24"/>
          <w:szCs w:val="24"/>
        </w:rPr>
        <w:t xml:space="preserve"> and receive promise that </w:t>
      </w:r>
      <w:r w:rsidR="00DD04C5" w:rsidRPr="00F66F28">
        <w:rPr>
          <w:rFonts w:ascii="Times New Roman" w:hAnsi="Times New Roman" w:cs="Times New Roman"/>
          <w:sz w:val="24"/>
          <w:szCs w:val="24"/>
        </w:rPr>
        <w:t>value</w:t>
      </w:r>
      <w:r w:rsidR="00A2542E" w:rsidRPr="00F66F28">
        <w:rPr>
          <w:rFonts w:ascii="Times New Roman" w:hAnsi="Times New Roman" w:cs="Times New Roman"/>
          <w:sz w:val="24"/>
          <w:szCs w:val="24"/>
        </w:rPr>
        <w:t xml:space="preserve"> and </w:t>
      </w:r>
      <w:r w:rsidR="00EE0065" w:rsidRPr="00F66F28">
        <w:rPr>
          <w:rFonts w:ascii="Times New Roman" w:hAnsi="Times New Roman" w:cs="Times New Roman"/>
          <w:sz w:val="24"/>
          <w:szCs w:val="24"/>
        </w:rPr>
        <w:t>interest</w:t>
      </w:r>
      <w:r w:rsidR="00A2542E" w:rsidRPr="00F66F28">
        <w:rPr>
          <w:rFonts w:ascii="Times New Roman" w:hAnsi="Times New Roman" w:cs="Times New Roman"/>
          <w:sz w:val="24"/>
          <w:szCs w:val="24"/>
        </w:rPr>
        <w:t xml:space="preserve"> will be repaid. The cost of equity is dividend payment to shareholders and the cost of debt is the </w:t>
      </w:r>
      <w:r w:rsidR="00EE0065" w:rsidRPr="00F66F28">
        <w:rPr>
          <w:rFonts w:ascii="Times New Roman" w:hAnsi="Times New Roman" w:cs="Times New Roman"/>
          <w:sz w:val="24"/>
          <w:szCs w:val="24"/>
        </w:rPr>
        <w:t>interest</w:t>
      </w:r>
      <w:r w:rsidR="00A2542E" w:rsidRPr="00F66F28">
        <w:rPr>
          <w:rFonts w:ascii="Times New Roman" w:hAnsi="Times New Roman" w:cs="Times New Roman"/>
          <w:sz w:val="24"/>
          <w:szCs w:val="24"/>
        </w:rPr>
        <w:t xml:space="preserve"> payment </w:t>
      </w:r>
      <w:r w:rsidR="00EE0065" w:rsidRPr="00F66F28">
        <w:rPr>
          <w:rFonts w:ascii="Times New Roman" w:hAnsi="Times New Roman" w:cs="Times New Roman"/>
          <w:sz w:val="24"/>
          <w:szCs w:val="24"/>
        </w:rPr>
        <w:t>to the</w:t>
      </w:r>
      <w:r w:rsidR="00A2542E" w:rsidRPr="00F66F28">
        <w:rPr>
          <w:rFonts w:ascii="Times New Roman" w:hAnsi="Times New Roman" w:cs="Times New Roman"/>
          <w:sz w:val="24"/>
          <w:szCs w:val="24"/>
        </w:rPr>
        <w:t xml:space="preserve"> bond holders when the company issues debt.</w:t>
      </w:r>
      <w:r w:rsidR="00F66F28" w:rsidRPr="00F66F28">
        <w:rPr>
          <w:rFonts w:ascii="Times New Roman" w:hAnsi="Times New Roman" w:cs="Times New Roman"/>
          <w:color w:val="444444"/>
          <w:sz w:val="24"/>
          <w:szCs w:val="24"/>
        </w:rPr>
        <w:t xml:space="preserve"> </w:t>
      </w:r>
      <w:r w:rsidR="00F66F28">
        <w:rPr>
          <w:rFonts w:ascii="Times New Roman" w:hAnsi="Times New Roman" w:cs="Times New Roman"/>
          <w:color w:val="444444"/>
          <w:sz w:val="24"/>
          <w:szCs w:val="24"/>
        </w:rPr>
        <w:t xml:space="preserve">(Porter, G. &amp; Norton, C. </w:t>
      </w:r>
      <w:r w:rsidR="00F66F28" w:rsidRPr="00F66F28">
        <w:rPr>
          <w:rFonts w:ascii="Times New Roman" w:hAnsi="Times New Roman" w:cs="Times New Roman"/>
          <w:color w:val="444444"/>
          <w:sz w:val="24"/>
          <w:szCs w:val="24"/>
        </w:rPr>
        <w:t>2010). </w:t>
      </w:r>
      <w:r w:rsidR="00A2542E" w:rsidRPr="00F66F28">
        <w:rPr>
          <w:rFonts w:ascii="Times New Roman" w:hAnsi="Times New Roman" w:cs="Times New Roman"/>
          <w:sz w:val="24"/>
          <w:szCs w:val="24"/>
        </w:rPr>
        <w:t xml:space="preserve"> This can be done through inters payment called coupon payment. The </w:t>
      </w:r>
      <w:r w:rsidR="00EE0065" w:rsidRPr="00F66F28">
        <w:rPr>
          <w:rFonts w:ascii="Times New Roman" w:hAnsi="Times New Roman" w:cs="Times New Roman"/>
          <w:sz w:val="24"/>
          <w:szCs w:val="24"/>
        </w:rPr>
        <w:t>interest</w:t>
      </w:r>
      <w:r w:rsidR="00A2542E" w:rsidRPr="00F66F28">
        <w:rPr>
          <w:rFonts w:ascii="Times New Roman" w:hAnsi="Times New Roman" w:cs="Times New Roman"/>
          <w:sz w:val="24"/>
          <w:szCs w:val="24"/>
        </w:rPr>
        <w:t xml:space="preserve"> </w:t>
      </w:r>
      <w:r w:rsidR="00EE0065" w:rsidRPr="00F66F28">
        <w:rPr>
          <w:rFonts w:ascii="Times New Roman" w:hAnsi="Times New Roman" w:cs="Times New Roman"/>
          <w:sz w:val="24"/>
          <w:szCs w:val="24"/>
        </w:rPr>
        <w:t>rate paid on the instrument represents</w:t>
      </w:r>
      <w:r w:rsidR="00A2542E" w:rsidRPr="00F66F28">
        <w:rPr>
          <w:rFonts w:ascii="Times New Roman" w:hAnsi="Times New Roman" w:cs="Times New Roman"/>
          <w:sz w:val="24"/>
          <w:szCs w:val="24"/>
        </w:rPr>
        <w:t xml:space="preserve"> the cost of borrowing to the </w:t>
      </w:r>
      <w:r w:rsidR="00EE0065" w:rsidRPr="00F66F28">
        <w:rPr>
          <w:rFonts w:ascii="Times New Roman" w:hAnsi="Times New Roman" w:cs="Times New Roman"/>
          <w:sz w:val="24"/>
          <w:szCs w:val="24"/>
        </w:rPr>
        <w:t>issuer. The</w:t>
      </w:r>
      <w:r w:rsidR="00A2542E" w:rsidRPr="00F66F28">
        <w:rPr>
          <w:rFonts w:ascii="Times New Roman" w:hAnsi="Times New Roman" w:cs="Times New Roman"/>
          <w:sz w:val="24"/>
          <w:szCs w:val="24"/>
        </w:rPr>
        <w:t xml:space="preserve"> </w:t>
      </w:r>
      <w:r w:rsidR="00F66F28" w:rsidRPr="00F66F28">
        <w:rPr>
          <w:rFonts w:ascii="Times New Roman" w:hAnsi="Times New Roman" w:cs="Times New Roman"/>
          <w:sz w:val="24"/>
          <w:szCs w:val="24"/>
        </w:rPr>
        <w:t>totality</w:t>
      </w:r>
      <w:r w:rsidR="00A2542E" w:rsidRPr="00F66F28">
        <w:rPr>
          <w:rFonts w:ascii="Times New Roman" w:hAnsi="Times New Roman" w:cs="Times New Roman"/>
          <w:sz w:val="24"/>
          <w:szCs w:val="24"/>
        </w:rPr>
        <w:t xml:space="preserve"> of the cost of equity financing and debt financing is a company cost of capital. The cost of capital represent the minimum return that a company must earn on its capital to </w:t>
      </w:r>
      <w:r w:rsidR="00DD04C5" w:rsidRPr="00F66F28">
        <w:rPr>
          <w:rFonts w:ascii="Times New Roman" w:hAnsi="Times New Roman" w:cs="Times New Roman"/>
          <w:sz w:val="24"/>
          <w:szCs w:val="24"/>
        </w:rPr>
        <w:t>content</w:t>
      </w:r>
      <w:r w:rsidR="00A2542E" w:rsidRPr="00F66F28">
        <w:rPr>
          <w:rFonts w:ascii="Times New Roman" w:hAnsi="Times New Roman" w:cs="Times New Roman"/>
          <w:sz w:val="24"/>
          <w:szCs w:val="24"/>
        </w:rPr>
        <w:t xml:space="preserve"> its </w:t>
      </w:r>
      <w:r w:rsidR="00EE0065" w:rsidRPr="00F66F28">
        <w:rPr>
          <w:rFonts w:ascii="Times New Roman" w:hAnsi="Times New Roman" w:cs="Times New Roman"/>
          <w:sz w:val="24"/>
          <w:szCs w:val="24"/>
        </w:rPr>
        <w:t>shareholders</w:t>
      </w:r>
      <w:r w:rsidR="00A2542E" w:rsidRPr="00F66F28">
        <w:rPr>
          <w:rFonts w:ascii="Times New Roman" w:hAnsi="Times New Roman" w:cs="Times New Roman"/>
          <w:sz w:val="24"/>
          <w:szCs w:val="24"/>
        </w:rPr>
        <w:t xml:space="preserve">, creditors and other providers of capital, a company investment </w:t>
      </w:r>
      <w:r w:rsidR="00DD04C5" w:rsidRPr="00F66F28">
        <w:rPr>
          <w:rFonts w:ascii="Times New Roman" w:hAnsi="Times New Roman" w:cs="Times New Roman"/>
          <w:sz w:val="24"/>
          <w:szCs w:val="24"/>
        </w:rPr>
        <w:t>result</w:t>
      </w:r>
      <w:r w:rsidR="00A2542E" w:rsidRPr="00F66F28">
        <w:rPr>
          <w:rFonts w:ascii="Times New Roman" w:hAnsi="Times New Roman" w:cs="Times New Roman"/>
          <w:sz w:val="24"/>
          <w:szCs w:val="24"/>
        </w:rPr>
        <w:t xml:space="preserve"> relating to new projects and  operation should always</w:t>
      </w:r>
      <w:r w:rsidR="00EE0065" w:rsidRPr="00F66F28">
        <w:rPr>
          <w:rFonts w:ascii="Times New Roman" w:hAnsi="Times New Roman" w:cs="Times New Roman"/>
          <w:sz w:val="24"/>
          <w:szCs w:val="24"/>
        </w:rPr>
        <w:t xml:space="preserve"> </w:t>
      </w:r>
      <w:r w:rsidR="00EE0065" w:rsidRPr="00F66F28">
        <w:rPr>
          <w:rFonts w:ascii="Times New Roman" w:hAnsi="Times New Roman" w:cs="Times New Roman"/>
          <w:sz w:val="24"/>
          <w:szCs w:val="24"/>
        </w:rPr>
        <w:lastRenderedPageBreak/>
        <w:t xml:space="preserve">generate returns </w:t>
      </w:r>
      <w:r w:rsidR="00F66F28" w:rsidRPr="00F66F28">
        <w:rPr>
          <w:rFonts w:ascii="Times New Roman" w:hAnsi="Times New Roman" w:cs="Times New Roman"/>
          <w:sz w:val="24"/>
          <w:szCs w:val="24"/>
        </w:rPr>
        <w:t>larger</w:t>
      </w:r>
      <w:r w:rsidR="00EE0065" w:rsidRPr="00F66F28">
        <w:rPr>
          <w:rFonts w:ascii="Times New Roman" w:hAnsi="Times New Roman" w:cs="Times New Roman"/>
          <w:sz w:val="24"/>
          <w:szCs w:val="24"/>
        </w:rPr>
        <w:t xml:space="preserve"> than the cost of capital. If returns   on its capital expenditure is below its cost of capital then the firms is not generating positive earnings for its investors as the case of the </w:t>
      </w:r>
      <w:r w:rsidR="00DD04C5" w:rsidRPr="00F66F28">
        <w:rPr>
          <w:rFonts w:ascii="Times New Roman" w:hAnsi="Times New Roman" w:cs="Times New Roman"/>
          <w:sz w:val="24"/>
          <w:szCs w:val="24"/>
        </w:rPr>
        <w:t>controls</w:t>
      </w:r>
      <w:r w:rsidR="00EE0065" w:rsidRPr="00F66F28">
        <w:rPr>
          <w:rFonts w:ascii="Times New Roman" w:hAnsi="Times New Roman" w:cs="Times New Roman"/>
          <w:sz w:val="24"/>
          <w:szCs w:val="24"/>
        </w:rPr>
        <w:t xml:space="preserve"> above. In this case the company needs to re- valuate and re balance its capital expenditure since the interest  on debt tax deductible in most cases the interest </w:t>
      </w:r>
      <w:r w:rsidR="00DD04C5" w:rsidRPr="00F66F28">
        <w:rPr>
          <w:rFonts w:ascii="Times New Roman" w:hAnsi="Times New Roman" w:cs="Times New Roman"/>
          <w:sz w:val="24"/>
          <w:szCs w:val="24"/>
        </w:rPr>
        <w:t>overhead</w:t>
      </w:r>
      <w:r w:rsidR="00EE0065" w:rsidRPr="00F66F28">
        <w:rPr>
          <w:rFonts w:ascii="Times New Roman" w:hAnsi="Times New Roman" w:cs="Times New Roman"/>
          <w:sz w:val="24"/>
          <w:szCs w:val="24"/>
        </w:rPr>
        <w:t xml:space="preserve"> is calculated on an after tax basis to make it more </w:t>
      </w:r>
      <w:r w:rsidR="00163310" w:rsidRPr="00F66F28">
        <w:rPr>
          <w:rFonts w:ascii="Times New Roman" w:hAnsi="Times New Roman" w:cs="Times New Roman"/>
          <w:sz w:val="24"/>
          <w:szCs w:val="24"/>
        </w:rPr>
        <w:t>similar</w:t>
      </w:r>
      <w:r w:rsidR="00EE0065" w:rsidRPr="00F66F28">
        <w:rPr>
          <w:rFonts w:ascii="Times New Roman" w:hAnsi="Times New Roman" w:cs="Times New Roman"/>
          <w:sz w:val="24"/>
          <w:szCs w:val="24"/>
        </w:rPr>
        <w:t xml:space="preserve"> to the cost of equity as earnings on stock are taxed. In conclusion </w:t>
      </w:r>
      <w:r w:rsidR="00163310" w:rsidRPr="00F66F28">
        <w:rPr>
          <w:rFonts w:ascii="Times New Roman" w:hAnsi="Times New Roman" w:cs="Times New Roman"/>
          <w:sz w:val="24"/>
          <w:szCs w:val="24"/>
        </w:rPr>
        <w:t>a low</w:t>
      </w:r>
      <w:r w:rsidR="00EE0065" w:rsidRPr="00F66F28">
        <w:rPr>
          <w:rFonts w:ascii="Times New Roman" w:hAnsi="Times New Roman" w:cs="Times New Roman"/>
          <w:sz w:val="24"/>
          <w:szCs w:val="24"/>
        </w:rPr>
        <w:t xml:space="preserve"> debt ratio is </w:t>
      </w:r>
      <w:r w:rsidR="00163310" w:rsidRPr="00F66F28">
        <w:rPr>
          <w:rFonts w:ascii="Times New Roman" w:hAnsi="Times New Roman" w:cs="Times New Roman"/>
          <w:sz w:val="24"/>
          <w:szCs w:val="24"/>
        </w:rPr>
        <w:t>desirable</w:t>
      </w:r>
      <w:r w:rsidR="00EE0065" w:rsidRPr="00F66F28">
        <w:rPr>
          <w:rFonts w:ascii="Times New Roman" w:hAnsi="Times New Roman" w:cs="Times New Roman"/>
          <w:sz w:val="24"/>
          <w:szCs w:val="24"/>
        </w:rPr>
        <w:t xml:space="preserve"> to high one.</w:t>
      </w: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7366DD" w:rsidRDefault="007366DD" w:rsidP="00F66F28">
      <w:pPr>
        <w:spacing w:line="480" w:lineRule="auto"/>
        <w:jc w:val="both"/>
        <w:rPr>
          <w:rFonts w:ascii="Times New Roman" w:hAnsi="Times New Roman" w:cs="Times New Roman"/>
          <w:sz w:val="24"/>
          <w:szCs w:val="24"/>
        </w:rPr>
      </w:pPr>
    </w:p>
    <w:p w:rsidR="00163310" w:rsidRPr="007366DD" w:rsidRDefault="00F66F28" w:rsidP="007366DD">
      <w:pPr>
        <w:spacing w:line="480" w:lineRule="auto"/>
        <w:jc w:val="center"/>
        <w:rPr>
          <w:rFonts w:ascii="Times New Roman" w:hAnsi="Times New Roman" w:cs="Times New Roman"/>
          <w:b/>
          <w:sz w:val="24"/>
          <w:szCs w:val="24"/>
        </w:rPr>
      </w:pPr>
      <w:r w:rsidRPr="007366DD">
        <w:rPr>
          <w:rFonts w:ascii="Times New Roman" w:hAnsi="Times New Roman" w:cs="Times New Roman"/>
          <w:b/>
          <w:sz w:val="24"/>
          <w:szCs w:val="24"/>
        </w:rPr>
        <w:lastRenderedPageBreak/>
        <w:t>REFRENCES</w:t>
      </w:r>
    </w:p>
    <w:p w:rsidR="00F66F28" w:rsidRDefault="00163310" w:rsidP="00F66F28">
      <w:pPr>
        <w:pStyle w:val="bib"/>
        <w:shd w:val="clear" w:color="auto" w:fill="FFFFFF"/>
        <w:spacing w:before="0" w:beforeAutospacing="0" w:after="0" w:afterAutospacing="0" w:line="480" w:lineRule="auto"/>
        <w:jc w:val="both"/>
        <w:textAlignment w:val="baseline"/>
        <w:rPr>
          <w:rStyle w:val="Emphasis"/>
          <w:color w:val="444444"/>
          <w:bdr w:val="none" w:sz="0" w:space="0" w:color="auto" w:frame="1"/>
        </w:rPr>
      </w:pPr>
      <w:r w:rsidRPr="00F66F28">
        <w:rPr>
          <w:color w:val="444444"/>
        </w:rPr>
        <w:t>Porter, G. &amp; Norton, C. (2010). </w:t>
      </w:r>
      <w:r w:rsidRPr="00F66F28">
        <w:rPr>
          <w:rStyle w:val="Emphasis"/>
          <w:color w:val="444444"/>
          <w:bdr w:val="none" w:sz="0" w:space="0" w:color="auto" w:frame="1"/>
        </w:rPr>
        <w:t>Using financial accounting i</w:t>
      </w:r>
      <w:r w:rsidR="00F66F28">
        <w:rPr>
          <w:rStyle w:val="Emphasis"/>
          <w:color w:val="444444"/>
          <w:bdr w:val="none" w:sz="0" w:space="0" w:color="auto" w:frame="1"/>
        </w:rPr>
        <w:t>nformation : the alternative to</w:t>
      </w:r>
    </w:p>
    <w:p w:rsidR="00163310" w:rsidRPr="00F66F28" w:rsidRDefault="00163310" w:rsidP="00F66F28">
      <w:pPr>
        <w:pStyle w:val="bib"/>
        <w:shd w:val="clear" w:color="auto" w:fill="FFFFFF"/>
        <w:spacing w:before="0" w:beforeAutospacing="0" w:after="0" w:afterAutospacing="0" w:line="480" w:lineRule="auto"/>
        <w:jc w:val="both"/>
        <w:textAlignment w:val="baseline"/>
        <w:rPr>
          <w:color w:val="444444"/>
        </w:rPr>
      </w:pPr>
      <w:r w:rsidRPr="00F66F28">
        <w:rPr>
          <w:rStyle w:val="Emphasis"/>
          <w:color w:val="444444"/>
          <w:bdr w:val="none" w:sz="0" w:space="0" w:color="auto" w:frame="1"/>
        </w:rPr>
        <w:t>debits and credits</w:t>
      </w:r>
      <w:r w:rsidRPr="00F66F28">
        <w:rPr>
          <w:color w:val="444444"/>
        </w:rPr>
        <w:t>. Australia Mason, OH: South-Western Cengage Learning.</w:t>
      </w:r>
    </w:p>
    <w:p w:rsidR="00163310" w:rsidRPr="00F66F28" w:rsidRDefault="00163310" w:rsidP="00F66F28">
      <w:pPr>
        <w:spacing w:line="480" w:lineRule="auto"/>
        <w:jc w:val="both"/>
        <w:rPr>
          <w:rFonts w:ascii="Times New Roman" w:hAnsi="Times New Roman" w:cs="Times New Roman"/>
          <w:sz w:val="24"/>
          <w:szCs w:val="24"/>
        </w:rPr>
      </w:pPr>
    </w:p>
    <w:p w:rsidR="00F66F28" w:rsidRPr="00F66F28" w:rsidRDefault="00F66F28" w:rsidP="00F66F28">
      <w:pPr>
        <w:pStyle w:val="bib"/>
        <w:shd w:val="clear" w:color="auto" w:fill="FFFFFF"/>
        <w:spacing w:before="0" w:beforeAutospacing="0" w:after="0" w:afterAutospacing="0" w:line="480" w:lineRule="auto"/>
        <w:jc w:val="both"/>
        <w:textAlignment w:val="baseline"/>
        <w:rPr>
          <w:color w:val="444444"/>
        </w:rPr>
      </w:pPr>
      <w:r w:rsidRPr="00F66F28">
        <w:rPr>
          <w:color w:val="444444"/>
        </w:rPr>
        <w:t>Besley, S. &amp; Brigham, E. (2009). </w:t>
      </w:r>
      <w:r w:rsidRPr="00F66F28">
        <w:rPr>
          <w:rStyle w:val="Emphasis"/>
          <w:color w:val="444444"/>
          <w:bdr w:val="none" w:sz="0" w:space="0" w:color="auto" w:frame="1"/>
        </w:rPr>
        <w:t>Principles of finance</w:t>
      </w:r>
      <w:r w:rsidRPr="00F66F28">
        <w:rPr>
          <w:color w:val="444444"/>
        </w:rPr>
        <w:t xml:space="preserve">. Australia Mason, OH: South-Western </w:t>
      </w:r>
      <w:r>
        <w:rPr>
          <w:color w:val="444444"/>
        </w:rPr>
        <w:t xml:space="preserve">  </w:t>
      </w:r>
      <w:r w:rsidRPr="00F66F28">
        <w:rPr>
          <w:color w:val="444444"/>
        </w:rPr>
        <w:t>Cengage Learning.</w:t>
      </w:r>
    </w:p>
    <w:p w:rsidR="00F66F28" w:rsidRPr="00F66F28" w:rsidRDefault="00F66F28" w:rsidP="00F66F28">
      <w:pPr>
        <w:spacing w:line="480" w:lineRule="auto"/>
        <w:jc w:val="both"/>
        <w:rPr>
          <w:rFonts w:ascii="Times New Roman" w:hAnsi="Times New Roman" w:cs="Times New Roman"/>
          <w:sz w:val="24"/>
          <w:szCs w:val="24"/>
        </w:rPr>
      </w:pPr>
    </w:p>
    <w:sectPr w:rsidR="00F66F28" w:rsidRPr="00F66F28" w:rsidSect="00FE32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71D3"/>
    <w:rsid w:val="00163310"/>
    <w:rsid w:val="005234FA"/>
    <w:rsid w:val="00624EF5"/>
    <w:rsid w:val="007366DD"/>
    <w:rsid w:val="00A2542E"/>
    <w:rsid w:val="00A371D3"/>
    <w:rsid w:val="00D34AA7"/>
    <w:rsid w:val="00DD04C5"/>
    <w:rsid w:val="00EE0065"/>
    <w:rsid w:val="00F66F28"/>
    <w:rsid w:val="00FE32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2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b">
    <w:name w:val="bib"/>
    <w:basedOn w:val="Normal"/>
    <w:rsid w:val="0016331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3310"/>
    <w:rPr>
      <w:i/>
      <w:iCs/>
    </w:rPr>
  </w:style>
  <w:style w:type="character" w:customStyle="1" w:styleId="apple-converted-space">
    <w:name w:val="apple-converted-space"/>
    <w:basedOn w:val="DefaultParagraphFont"/>
    <w:rsid w:val="007366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b">
    <w:name w:val="bib"/>
    <w:basedOn w:val="Normal"/>
    <w:rsid w:val="0016331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3310"/>
    <w:rPr>
      <w:i/>
      <w:iCs/>
    </w:rPr>
  </w:style>
</w:styles>
</file>

<file path=word/webSettings.xml><?xml version="1.0" encoding="utf-8"?>
<w:webSettings xmlns:r="http://schemas.openxmlformats.org/officeDocument/2006/relationships" xmlns:w="http://schemas.openxmlformats.org/wordprocessingml/2006/main">
  <w:divs>
    <w:div w:id="545407085">
      <w:bodyDiv w:val="1"/>
      <w:marLeft w:val="0"/>
      <w:marRight w:val="0"/>
      <w:marTop w:val="0"/>
      <w:marBottom w:val="0"/>
      <w:divBdr>
        <w:top w:val="none" w:sz="0" w:space="0" w:color="auto"/>
        <w:left w:val="none" w:sz="0" w:space="0" w:color="auto"/>
        <w:bottom w:val="none" w:sz="0" w:space="0" w:color="auto"/>
        <w:right w:val="none" w:sz="0" w:space="0" w:color="auto"/>
      </w:divBdr>
      <w:divsChild>
        <w:div w:id="470055782">
          <w:marLeft w:val="0"/>
          <w:marRight w:val="0"/>
          <w:marTop w:val="0"/>
          <w:marBottom w:val="0"/>
          <w:divBdr>
            <w:top w:val="none" w:sz="0" w:space="0" w:color="auto"/>
            <w:left w:val="none" w:sz="0" w:space="0" w:color="auto"/>
            <w:bottom w:val="none" w:sz="0" w:space="0" w:color="auto"/>
            <w:right w:val="none" w:sz="0" w:space="0" w:color="auto"/>
          </w:divBdr>
          <w:divsChild>
            <w:div w:id="910699707">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664629160">
      <w:bodyDiv w:val="1"/>
      <w:marLeft w:val="0"/>
      <w:marRight w:val="0"/>
      <w:marTop w:val="0"/>
      <w:marBottom w:val="0"/>
      <w:divBdr>
        <w:top w:val="none" w:sz="0" w:space="0" w:color="auto"/>
        <w:left w:val="none" w:sz="0" w:space="0" w:color="auto"/>
        <w:bottom w:val="none" w:sz="0" w:space="0" w:color="auto"/>
        <w:right w:val="none" w:sz="0" w:space="0" w:color="auto"/>
      </w:divBdr>
      <w:divsChild>
        <w:div w:id="855730966">
          <w:marLeft w:val="0"/>
          <w:marRight w:val="0"/>
          <w:marTop w:val="0"/>
          <w:marBottom w:val="0"/>
          <w:divBdr>
            <w:top w:val="none" w:sz="0" w:space="0" w:color="auto"/>
            <w:left w:val="none" w:sz="0" w:space="0" w:color="auto"/>
            <w:bottom w:val="none" w:sz="0" w:space="0" w:color="auto"/>
            <w:right w:val="none" w:sz="0" w:space="0" w:color="auto"/>
          </w:divBdr>
          <w:divsChild>
            <w:div w:id="1686205486">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71693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FRANK</cp:lastModifiedBy>
  <cp:revision>2</cp:revision>
  <dcterms:created xsi:type="dcterms:W3CDTF">2019-06-10T03:22:00Z</dcterms:created>
  <dcterms:modified xsi:type="dcterms:W3CDTF">2019-06-10T03:22:00Z</dcterms:modified>
</cp:coreProperties>
</file>